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-2101/2024</w:t>
      </w:r>
    </w:p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86MS0021-01-2024-002243-09</w:t>
      </w:r>
    </w:p>
    <w:p>
      <w:pPr>
        <w:spacing w:before="0" w:after="0"/>
        <w:ind w:firstLine="851"/>
        <w:jc w:val="center"/>
        <w:rPr>
          <w:sz w:val="20"/>
          <w:szCs w:val="20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 мая 2024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округа–Югры, О.В. Вдовина,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ПКФ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Оргтехстрой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Харунжина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Станислава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1742222812grp-3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</w:t>
      </w:r>
      <w:r>
        <w:rPr>
          <w:rStyle w:val="cat-UserDefined-1891947720grp-3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проживающего: </w:t>
      </w:r>
      <w:r>
        <w:rPr>
          <w:rStyle w:val="cat-UserDefined655623328grp-3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-1902614714grp-36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Харунжин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генеральным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ООО ПКФ «</w:t>
      </w:r>
      <w:r>
        <w:rPr>
          <w:rFonts w:ascii="Times New Roman" w:eastAsia="Times New Roman" w:hAnsi="Times New Roman" w:cs="Times New Roman"/>
          <w:sz w:val="28"/>
          <w:szCs w:val="28"/>
        </w:rPr>
        <w:t>Оргтехстрой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г. Нижневартовск,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Омская, 28, </w:t>
      </w:r>
      <w:r>
        <w:rPr>
          <w:rFonts w:ascii="Times New Roman" w:eastAsia="Times New Roman" w:hAnsi="Times New Roman" w:cs="Times New Roman"/>
          <w:sz w:val="28"/>
          <w:szCs w:val="28"/>
        </w:rPr>
        <w:t>1001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пункта 2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>в ОСФР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 ЕФС-1, раздел 1, подраздел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срок предоставления которого установлен не позднее 25.01.2024 года. Фактически расчет представлен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sz w:val="28"/>
          <w:szCs w:val="28"/>
        </w:rPr>
        <w:t>.2024 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Харунжин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администрат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Харунжина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просивше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отложении рассмотрения дела.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следующие доказательства по делу: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>692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.04.2024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.02.2025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форму ЕФС-1;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почтовых </w:t>
      </w:r>
      <w:r>
        <w:rPr>
          <w:rFonts w:ascii="Times New Roman" w:eastAsia="Times New Roman" w:hAnsi="Times New Roman" w:cs="Times New Roman"/>
          <w:sz w:val="28"/>
          <w:szCs w:val="28"/>
        </w:rPr>
        <w:t>отправлений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выписку из ЕГРЮЛ,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>
      <w:pPr>
        <w:spacing w:before="0" w:after="0" w:line="293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2 ст. 8 Федерального закона от 01.04.1996 № 27-ФЗ «Об индивидуальном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(пе</w:t>
      </w:r>
      <w:r>
        <w:rPr>
          <w:rFonts w:ascii="Times New Roman" w:eastAsia="Times New Roman" w:hAnsi="Times New Roman" w:cs="Times New Roman"/>
          <w:sz w:val="28"/>
          <w:szCs w:val="28"/>
        </w:rPr>
        <w:t>рсониф</w:t>
      </w:r>
      <w:r>
        <w:rPr>
          <w:rFonts w:ascii="Times New Roman" w:eastAsia="Times New Roman" w:hAnsi="Times New Roman" w:cs="Times New Roman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sz w:val="28"/>
          <w:szCs w:val="28"/>
        </w:rPr>
        <w:t>рованном) учете в системах обязательного пенсионного страхования и обязательного социального страхования» (далее Федеральный закон № 27-ФЗ)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>
      <w:pPr>
        <w:spacing w:before="0" w:after="0" w:line="293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Единая форма сведений и порядок ее заполнения утверждены приказом Фонда пенсионного и социального страхования Российской Федерации от 17.11.2023г.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заполнения».</w:t>
      </w:r>
    </w:p>
    <w:p>
      <w:pPr>
        <w:spacing w:before="0" w:after="0" w:line="293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>.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договоры об отчуждении исключительного права на произведения науки, литературы, искусства, издательские лицензионные договоры, лицензионные договоры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права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 произведения науки, литературы, искусства, в том числе договоры о пере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даче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полномочий по управлению правами, заключенные с организацией по управлению пра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на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коллективной основе)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сведения и документы: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периоды работы (деятельности), в том числе периоды работы (деятельности), включаемые в 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 для определения права на досрочное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 пенсии или на повышение фиксированной выплаты к пенсии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материалов административного дела следует,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Харунжин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ООО ПКФ «</w:t>
      </w:r>
      <w:r>
        <w:rPr>
          <w:rFonts w:ascii="Times New Roman" w:eastAsia="Times New Roman" w:hAnsi="Times New Roman" w:cs="Times New Roman"/>
          <w:sz w:val="28"/>
          <w:szCs w:val="28"/>
        </w:rPr>
        <w:t>Оргтехстрой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несвоевременно предоставил </w:t>
      </w:r>
      <w:r>
        <w:rPr>
          <w:rFonts w:ascii="Times New Roman" w:eastAsia="Times New Roman" w:hAnsi="Times New Roman" w:cs="Times New Roman"/>
          <w:sz w:val="28"/>
          <w:szCs w:val="28"/>
        </w:rPr>
        <w:t>в ОСФР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 ЕФС-1, раздел 1, подраздел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срок предоставления которого установлен не позднее 25.01.2024 года. Фактически расчет представлен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sz w:val="28"/>
          <w:szCs w:val="28"/>
        </w:rPr>
        <w:t>.2024 г, то есть с пропуском установленного законом срока.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Харунжина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15.33.2 Кодекса РФ об АП, доказана.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4.3. Кодекса РФ об АП и считает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штрафа.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ст. ст. 29.9, 29.10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АП,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ООО ПКФ «</w:t>
      </w:r>
      <w:r>
        <w:rPr>
          <w:rFonts w:ascii="Times New Roman" w:eastAsia="Times New Roman" w:hAnsi="Times New Roman" w:cs="Times New Roman"/>
          <w:sz w:val="28"/>
          <w:szCs w:val="28"/>
        </w:rPr>
        <w:t>Оргтехстрой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Харунжина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Станислава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15.33.2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 назначить административное наказание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штрафа в размере 300 (триста)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в УФК по ХМАО-Югре (ОСФР по ХМАО-Югре), лицевой счет 04874Ф87010, р/счет № 03100643000000018700 РКЦ г. Ханты-Мансийск//УФК по ХМАО-Югре г. Ханты-Мансийск; к/с 40102810245370000007, ИНН 8601002078; КПП 860101001; БИК ТОФК 007162163; КБК 79711601230060001140; ОКТМО 71875000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УИН 79702700000000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3190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АП.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1742222812grp-33rplc-8">
    <w:name w:val="cat-UserDefined1742222812 grp-33 rplc-8"/>
    <w:basedOn w:val="DefaultParagraphFont"/>
  </w:style>
  <w:style w:type="character" w:customStyle="1" w:styleId="cat-UserDefined-1891947720grp-34rplc-11">
    <w:name w:val="cat-UserDefined-1891947720 grp-34 rplc-11"/>
    <w:basedOn w:val="DefaultParagraphFont"/>
  </w:style>
  <w:style w:type="character" w:customStyle="1" w:styleId="cat-UserDefined655623328grp-35rplc-14">
    <w:name w:val="cat-UserDefined655623328 grp-35 rplc-14"/>
    <w:basedOn w:val="DefaultParagraphFont"/>
  </w:style>
  <w:style w:type="character" w:customStyle="1" w:styleId="cat-UserDefined-1902614714grp-36rplc-17">
    <w:name w:val="cat-UserDefined-1902614714 grp-36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